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7C" w:rsidRDefault="00AD557C" w:rsidP="00AD557C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en-IE"/>
        </w:rPr>
        <w:drawing>
          <wp:inline distT="0" distB="0" distL="0" distR="0">
            <wp:extent cx="3838755" cy="2731770"/>
            <wp:effectExtent l="0" t="0" r="9525" b="0"/>
            <wp:docPr id="1" name="Picture 1" descr="C:\Users\Eoin.Quill\Pictures\ICE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oin.Quill\Pictures\ICE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579" cy="273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57C" w:rsidRDefault="00AD557C" w:rsidP="0013125A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13125A" w:rsidRPr="00AD557C" w:rsidRDefault="0013125A" w:rsidP="0013125A">
      <w:pPr>
        <w:spacing w:after="0" w:line="240" w:lineRule="auto"/>
        <w:jc w:val="center"/>
        <w:rPr>
          <w:b/>
          <w:i/>
          <w:color w:val="403152" w:themeColor="accent4" w:themeShade="80"/>
          <w:sz w:val="28"/>
          <w:szCs w:val="28"/>
        </w:rPr>
      </w:pPr>
      <w:proofErr w:type="gramStart"/>
      <w:r w:rsidRPr="00AD557C">
        <w:rPr>
          <w:b/>
          <w:i/>
          <w:color w:val="403152" w:themeColor="accent4" w:themeShade="80"/>
          <w:sz w:val="28"/>
          <w:szCs w:val="28"/>
        </w:rPr>
        <w:t>Compensation Culture or Accident Culture?</w:t>
      </w:r>
      <w:proofErr w:type="gramEnd"/>
    </w:p>
    <w:p w:rsidR="0013125A" w:rsidRPr="00AD557C" w:rsidRDefault="0013125A" w:rsidP="0013125A">
      <w:pPr>
        <w:spacing w:after="0" w:line="240" w:lineRule="auto"/>
        <w:jc w:val="center"/>
        <w:rPr>
          <w:b/>
          <w:i/>
          <w:color w:val="403152" w:themeColor="accent4" w:themeShade="80"/>
          <w:sz w:val="28"/>
          <w:szCs w:val="28"/>
        </w:rPr>
      </w:pPr>
      <w:r w:rsidRPr="00AD557C">
        <w:rPr>
          <w:b/>
          <w:i/>
          <w:color w:val="403152" w:themeColor="accent4" w:themeShade="80"/>
          <w:sz w:val="28"/>
          <w:szCs w:val="28"/>
        </w:rPr>
        <w:t>Comparative Tort Law Reform in the 21</w:t>
      </w:r>
      <w:r w:rsidRPr="00AD557C">
        <w:rPr>
          <w:b/>
          <w:i/>
          <w:color w:val="403152" w:themeColor="accent4" w:themeShade="80"/>
          <w:sz w:val="28"/>
          <w:szCs w:val="28"/>
          <w:vertAlign w:val="superscript"/>
        </w:rPr>
        <w:t>st</w:t>
      </w:r>
      <w:r w:rsidRPr="00AD557C">
        <w:rPr>
          <w:b/>
          <w:i/>
          <w:color w:val="403152" w:themeColor="accent4" w:themeShade="80"/>
          <w:sz w:val="28"/>
          <w:szCs w:val="28"/>
        </w:rPr>
        <w:t xml:space="preserve"> Century</w:t>
      </w:r>
    </w:p>
    <w:p w:rsidR="009E2FF7" w:rsidRPr="00AD557C" w:rsidRDefault="009E2FF7" w:rsidP="0013125A">
      <w:pPr>
        <w:spacing w:after="0" w:line="240" w:lineRule="auto"/>
        <w:jc w:val="center"/>
        <w:rPr>
          <w:b/>
          <w:i/>
          <w:color w:val="403152" w:themeColor="accent4" w:themeShade="80"/>
          <w:sz w:val="28"/>
          <w:szCs w:val="28"/>
        </w:rPr>
      </w:pPr>
      <w:r w:rsidRPr="00AD557C">
        <w:rPr>
          <w:b/>
          <w:i/>
          <w:color w:val="403152" w:themeColor="accent4" w:themeShade="80"/>
          <w:sz w:val="28"/>
          <w:szCs w:val="28"/>
        </w:rPr>
        <w:t>Call for Papers</w:t>
      </w:r>
    </w:p>
    <w:p w:rsidR="0013125A" w:rsidRDefault="0013125A" w:rsidP="0013125A">
      <w:pPr>
        <w:spacing w:after="0" w:line="240" w:lineRule="auto"/>
        <w:jc w:val="both"/>
      </w:pPr>
    </w:p>
    <w:p w:rsidR="00B51044" w:rsidRPr="00AD557C" w:rsidRDefault="0013125A" w:rsidP="0013125A">
      <w:pPr>
        <w:spacing w:after="0" w:line="240" w:lineRule="auto"/>
        <w:jc w:val="both"/>
        <w:rPr>
          <w:color w:val="002060"/>
        </w:rPr>
      </w:pPr>
      <w:r w:rsidRPr="00AD557C">
        <w:rPr>
          <w:color w:val="002060"/>
        </w:rPr>
        <w:t>June 2014 will mark the 10</w:t>
      </w:r>
      <w:r w:rsidRPr="00AD557C">
        <w:rPr>
          <w:color w:val="002060"/>
          <w:vertAlign w:val="superscript"/>
        </w:rPr>
        <w:t>th</w:t>
      </w:r>
      <w:r w:rsidRPr="00AD557C">
        <w:rPr>
          <w:color w:val="002060"/>
        </w:rPr>
        <w:t xml:space="preserve"> anniversary of the coming into operation of the Personal Injuries Assessment Board in Ireland; the Board quantifies damages in most classes of personal</w:t>
      </w:r>
      <w:r w:rsidR="006A1A08" w:rsidRPr="00AD557C">
        <w:rPr>
          <w:color w:val="002060"/>
        </w:rPr>
        <w:t xml:space="preserve"> injury case where liability is not in dispute</w:t>
      </w:r>
      <w:r w:rsidRPr="00AD557C">
        <w:rPr>
          <w:color w:val="002060"/>
        </w:rPr>
        <w:t>. 2014 is also the 10</w:t>
      </w:r>
      <w:r w:rsidRPr="00AD557C">
        <w:rPr>
          <w:color w:val="002060"/>
          <w:vertAlign w:val="superscript"/>
        </w:rPr>
        <w:t>th</w:t>
      </w:r>
      <w:r w:rsidRPr="00AD557C">
        <w:rPr>
          <w:color w:val="002060"/>
        </w:rPr>
        <w:t xml:space="preserve"> anniversary of the enactment of the Civil Liability and Courts Act 2004</w:t>
      </w:r>
      <w:r w:rsidR="006A1A08" w:rsidRPr="00AD557C">
        <w:rPr>
          <w:color w:val="002060"/>
        </w:rPr>
        <w:t>, which introduced a variety of procedural reforms to the tort process. These reforms were introduced to deal with a variety of perceived problems in the tort system.</w:t>
      </w:r>
    </w:p>
    <w:p w:rsidR="006A1A08" w:rsidRPr="00AD557C" w:rsidRDefault="006A1A08" w:rsidP="0013125A">
      <w:pPr>
        <w:spacing w:after="0" w:line="240" w:lineRule="auto"/>
        <w:jc w:val="both"/>
        <w:rPr>
          <w:color w:val="002060"/>
        </w:rPr>
      </w:pPr>
    </w:p>
    <w:p w:rsidR="009E2FF7" w:rsidRPr="00AD557C" w:rsidRDefault="006A1A08" w:rsidP="0013125A">
      <w:pPr>
        <w:spacing w:after="0" w:line="240" w:lineRule="auto"/>
        <w:jc w:val="both"/>
        <w:rPr>
          <w:color w:val="002060"/>
        </w:rPr>
      </w:pPr>
      <w:r w:rsidRPr="00AD557C">
        <w:rPr>
          <w:color w:val="002060"/>
        </w:rPr>
        <w:t xml:space="preserve">To mark the anniversary, the International Commercial and Economic Law </w:t>
      </w:r>
      <w:r w:rsidR="00F05502">
        <w:rPr>
          <w:color w:val="002060"/>
        </w:rPr>
        <w:t xml:space="preserve">Research </w:t>
      </w:r>
      <w:r w:rsidRPr="00AD557C">
        <w:rPr>
          <w:color w:val="002060"/>
        </w:rPr>
        <w:t xml:space="preserve">Group at the School of Law, University of Limerick is hosting a conference on comparative </w:t>
      </w:r>
      <w:r w:rsidR="009E2FF7" w:rsidRPr="00AD557C">
        <w:rPr>
          <w:color w:val="002060"/>
        </w:rPr>
        <w:t xml:space="preserve">compensation culture and </w:t>
      </w:r>
      <w:r w:rsidRPr="00AD557C">
        <w:rPr>
          <w:color w:val="002060"/>
        </w:rPr>
        <w:t>tort reform at the end of May 2014 (provisionally on 23 and 24 May).</w:t>
      </w:r>
      <w:r w:rsidR="009E2FF7" w:rsidRPr="00AD557C">
        <w:rPr>
          <w:color w:val="002060"/>
        </w:rPr>
        <w:t xml:space="preserve"> It will seek to bring together </w:t>
      </w:r>
      <w:r w:rsidR="00F05502">
        <w:rPr>
          <w:color w:val="002060"/>
        </w:rPr>
        <w:t xml:space="preserve">a variety of </w:t>
      </w:r>
      <w:r w:rsidR="00F05502" w:rsidRPr="00AD557C">
        <w:rPr>
          <w:color w:val="002060"/>
        </w:rPr>
        <w:t>perspectives</w:t>
      </w:r>
      <w:r w:rsidR="00F05502">
        <w:rPr>
          <w:color w:val="002060"/>
        </w:rPr>
        <w:t xml:space="preserve"> from</w:t>
      </w:r>
      <w:r w:rsidR="00F05502" w:rsidRPr="00AD557C">
        <w:rPr>
          <w:color w:val="002060"/>
        </w:rPr>
        <w:t xml:space="preserve"> </w:t>
      </w:r>
      <w:r w:rsidR="009E2FF7" w:rsidRPr="00AD557C">
        <w:rPr>
          <w:color w:val="002060"/>
        </w:rPr>
        <w:t>academic</w:t>
      </w:r>
      <w:r w:rsidR="00F05502">
        <w:rPr>
          <w:color w:val="002060"/>
        </w:rPr>
        <w:t>s and</w:t>
      </w:r>
      <w:r w:rsidR="00F05502" w:rsidRPr="00F05502">
        <w:rPr>
          <w:color w:val="002060"/>
        </w:rPr>
        <w:t xml:space="preserve"> </w:t>
      </w:r>
      <w:r w:rsidR="00F05502" w:rsidRPr="00AD557C">
        <w:rPr>
          <w:color w:val="002060"/>
        </w:rPr>
        <w:t>practitioner</w:t>
      </w:r>
      <w:r w:rsidR="00F05502">
        <w:rPr>
          <w:color w:val="002060"/>
        </w:rPr>
        <w:t>s in</w:t>
      </w:r>
      <w:r w:rsidR="009E2FF7" w:rsidRPr="00AD557C">
        <w:rPr>
          <w:color w:val="002060"/>
        </w:rPr>
        <w:t xml:space="preserve"> </w:t>
      </w:r>
      <w:r w:rsidR="00F05502">
        <w:rPr>
          <w:color w:val="002060"/>
        </w:rPr>
        <w:t>law,</w:t>
      </w:r>
      <w:r w:rsidR="009E2FF7" w:rsidRPr="00AD557C">
        <w:rPr>
          <w:color w:val="002060"/>
        </w:rPr>
        <w:t xml:space="preserve"> insurance </w:t>
      </w:r>
      <w:r w:rsidR="00F05502">
        <w:rPr>
          <w:color w:val="002060"/>
        </w:rPr>
        <w:t xml:space="preserve">and the administration of </w:t>
      </w:r>
      <w:r w:rsidR="00FE1785">
        <w:rPr>
          <w:color w:val="002060"/>
        </w:rPr>
        <w:t xml:space="preserve">compensation </w:t>
      </w:r>
      <w:r w:rsidR="00F05502">
        <w:rPr>
          <w:color w:val="002060"/>
        </w:rPr>
        <w:t>schemes</w:t>
      </w:r>
      <w:r w:rsidR="009E2FF7" w:rsidRPr="00AD557C">
        <w:rPr>
          <w:color w:val="002060"/>
        </w:rPr>
        <w:t>. In particular, it seeks to focus on the position in Ireland, England &amp; Wales and Australia, though other jurisdictions may be included if there is sufficient interest expressed.</w:t>
      </w:r>
    </w:p>
    <w:p w:rsidR="009E2FF7" w:rsidRPr="00AD557C" w:rsidRDefault="009E2FF7" w:rsidP="0013125A">
      <w:pPr>
        <w:spacing w:after="0" w:line="240" w:lineRule="auto"/>
        <w:jc w:val="both"/>
        <w:rPr>
          <w:color w:val="002060"/>
        </w:rPr>
      </w:pPr>
      <w:bookmarkStart w:id="0" w:name="_GoBack"/>
      <w:bookmarkEnd w:id="0"/>
    </w:p>
    <w:p w:rsidR="006A1A08" w:rsidRPr="00AD557C" w:rsidRDefault="009E2FF7" w:rsidP="0013125A">
      <w:pPr>
        <w:spacing w:after="0" w:line="240" w:lineRule="auto"/>
        <w:jc w:val="both"/>
        <w:rPr>
          <w:color w:val="002060"/>
        </w:rPr>
      </w:pPr>
      <w:r w:rsidRPr="00AD557C">
        <w:rPr>
          <w:color w:val="002060"/>
        </w:rPr>
        <w:t xml:space="preserve">Anyone interested in offering a paper on any aspect of this theme should submit an outline to </w:t>
      </w:r>
      <w:hyperlink r:id="rId6" w:history="1">
        <w:r w:rsidRPr="00AD557C">
          <w:rPr>
            <w:rStyle w:val="Hyperlink"/>
            <w:color w:val="FF0000"/>
          </w:rPr>
          <w:t>eoin.quill@ul.ie</w:t>
        </w:r>
      </w:hyperlink>
      <w:r w:rsidRPr="00AD557C">
        <w:rPr>
          <w:color w:val="1F497D" w:themeColor="text2"/>
        </w:rPr>
        <w:t xml:space="preserve"> </w:t>
      </w:r>
      <w:r w:rsidRPr="00AD557C">
        <w:rPr>
          <w:color w:val="002060"/>
        </w:rPr>
        <w:t>by Friday 4 October 2013</w:t>
      </w:r>
      <w:r w:rsidR="00835BEB" w:rsidRPr="00AD557C">
        <w:rPr>
          <w:color w:val="002060"/>
        </w:rPr>
        <w:t>.</w:t>
      </w:r>
      <w:r w:rsidRPr="00AD557C">
        <w:rPr>
          <w:color w:val="002060"/>
        </w:rPr>
        <w:t xml:space="preserve"> </w:t>
      </w:r>
    </w:p>
    <w:p w:rsidR="006A1A08" w:rsidRPr="00AD557C" w:rsidRDefault="006A1A08" w:rsidP="0013125A">
      <w:pPr>
        <w:spacing w:after="0" w:line="240" w:lineRule="auto"/>
        <w:jc w:val="both"/>
        <w:rPr>
          <w:color w:val="002060"/>
        </w:rPr>
      </w:pPr>
    </w:p>
    <w:p w:rsidR="00835BEB" w:rsidRPr="00AD557C" w:rsidRDefault="00835BEB" w:rsidP="0013125A">
      <w:pPr>
        <w:spacing w:after="0" w:line="240" w:lineRule="auto"/>
        <w:jc w:val="both"/>
        <w:rPr>
          <w:color w:val="002060"/>
        </w:rPr>
      </w:pPr>
      <w:proofErr w:type="spellStart"/>
      <w:r w:rsidRPr="00AD557C">
        <w:rPr>
          <w:color w:val="002060"/>
        </w:rPr>
        <w:t>Eoin</w:t>
      </w:r>
      <w:proofErr w:type="spellEnd"/>
      <w:r w:rsidRPr="00AD557C">
        <w:rPr>
          <w:color w:val="002060"/>
        </w:rPr>
        <w:t xml:space="preserve"> Quill</w:t>
      </w:r>
    </w:p>
    <w:p w:rsidR="00835BEB" w:rsidRPr="00AD557C" w:rsidRDefault="00835BEB" w:rsidP="0013125A">
      <w:pPr>
        <w:spacing w:after="0" w:line="240" w:lineRule="auto"/>
        <w:jc w:val="both"/>
        <w:rPr>
          <w:color w:val="002060"/>
        </w:rPr>
      </w:pPr>
      <w:r w:rsidRPr="00AD557C">
        <w:rPr>
          <w:color w:val="002060"/>
        </w:rPr>
        <w:t>Director ICEL</w:t>
      </w:r>
      <w:r w:rsidR="00F05502">
        <w:rPr>
          <w:color w:val="002060"/>
        </w:rPr>
        <w:t>RG</w:t>
      </w:r>
    </w:p>
    <w:p w:rsidR="00835BEB" w:rsidRPr="00AD557C" w:rsidRDefault="00835BEB" w:rsidP="0013125A">
      <w:pPr>
        <w:spacing w:after="0" w:line="240" w:lineRule="auto"/>
        <w:jc w:val="both"/>
        <w:rPr>
          <w:color w:val="002060"/>
        </w:rPr>
      </w:pPr>
      <w:r w:rsidRPr="00AD557C">
        <w:rPr>
          <w:color w:val="002060"/>
        </w:rPr>
        <w:t>School of Law</w:t>
      </w:r>
    </w:p>
    <w:p w:rsidR="00835BEB" w:rsidRPr="00AD557C" w:rsidRDefault="00835BEB" w:rsidP="0013125A">
      <w:pPr>
        <w:spacing w:after="0" w:line="240" w:lineRule="auto"/>
        <w:jc w:val="both"/>
        <w:rPr>
          <w:color w:val="002060"/>
        </w:rPr>
      </w:pPr>
      <w:r w:rsidRPr="00AD557C">
        <w:rPr>
          <w:color w:val="002060"/>
        </w:rPr>
        <w:t>University of Limerick</w:t>
      </w:r>
    </w:p>
    <w:p w:rsidR="00835BEB" w:rsidRPr="00AD557C" w:rsidRDefault="00835BEB" w:rsidP="0013125A">
      <w:pPr>
        <w:spacing w:after="0" w:line="240" w:lineRule="auto"/>
        <w:jc w:val="both"/>
        <w:rPr>
          <w:color w:val="002060"/>
        </w:rPr>
      </w:pPr>
      <w:r w:rsidRPr="00AD557C">
        <w:rPr>
          <w:color w:val="002060"/>
        </w:rPr>
        <w:t>Ireland.</w:t>
      </w:r>
    </w:p>
    <w:p w:rsidR="00835BEB" w:rsidRPr="00AD557C" w:rsidRDefault="00835BEB" w:rsidP="0013125A">
      <w:pPr>
        <w:spacing w:after="0" w:line="240" w:lineRule="auto"/>
        <w:jc w:val="both"/>
        <w:rPr>
          <w:color w:val="1F497D" w:themeColor="text2"/>
        </w:rPr>
      </w:pPr>
    </w:p>
    <w:sectPr w:rsidR="00835BEB" w:rsidRPr="00AD55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25A"/>
    <w:rsid w:val="0013125A"/>
    <w:rsid w:val="006A1A08"/>
    <w:rsid w:val="00835BEB"/>
    <w:rsid w:val="009E2FF7"/>
    <w:rsid w:val="00AD557C"/>
    <w:rsid w:val="00B51044"/>
    <w:rsid w:val="00F05502"/>
    <w:rsid w:val="00FE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2F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5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2F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oin.quill@ul.i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Limerick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ULStaff</dc:creator>
  <cp:lastModifiedBy>ULStaff</cp:lastModifiedBy>
  <cp:revision>4</cp:revision>
  <dcterms:created xsi:type="dcterms:W3CDTF">2013-05-09T10:11:00Z</dcterms:created>
  <dcterms:modified xsi:type="dcterms:W3CDTF">2013-05-13T09:51:00Z</dcterms:modified>
</cp:coreProperties>
</file>